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439c85ec7a234d38" /></Relationships>
</file>

<file path=word/document.xml><?xml version="1.0" encoding="utf-8"?>
<w:document xmlns:w="http://schemas.openxmlformats.org/wordprocessingml/2006/main">
  <w:body>
    <w:tbl>
      <w:tblPr>
        <w:tblW w:w="9000" w:type="dxa"/>
        <w:tblBorders>
          <w:top w:val="nil"/>
          <w:bottom w:val="nil"/>
          <w:left w:val="nil"/>
          <w:right w:val="nil"/>
          <w:insideH w:val="nil"/>
          <w:insideV w:val="nil"/>
        </w:tblBorders>
        <w:tblCellSpacing w:w="60" w:type="dxa"/>
        <w:shd w:val="clear" w:color="auto" w:fill="E7F0F9"/>
      </w:tblPr>
      <w:tblGrid>
        <w:gridCol w:w="1200"/>
        <w:gridCol w:w="4500"/>
      </w:tblGrid>
      <w:tr>
        <w:tc>
          <w:tcPr>
            <w:tcW w:w="1200" w:type="pct"/>
            <w:shd w:val="clear" w:color="auto" w:fill="E7F0F9"/>
          </w:tcPr>
          <w:p>
            <w:pPr>
              <w:spacing w:before="0" w:after="0" w:line="240" w:lineRule="auto"/>
              <w:jc w:val="left"/>
            </w:pPr>
            <w:r>
              <w:rPr>
                <w:b/>
              </w:rPr>
              <w:t xml:space="preserve">RKP broj</w:t>
            </w:r>
          </w:p>
        </w:tc>
        <w:tc>
          <w:tcPr>
            <w:shd w:val="clear" w:color="auto" w:fill="E7F0F9"/>
          </w:tcPr>
          <w:p>
            <w:pPr>
              <w:spacing w:before="0" w:after="0" w:line="240" w:lineRule="auto"/>
              <w:jc w:val="left"/>
            </w:pPr>
            <w:r>
              <w:t xml:space="preserve">27484</w:t>
            </w:r>
          </w:p>
        </w:tc>
      </w:tr>
      <w:tr>
        <w:tc>
          <w:tcPr>
            <w:tcW w:w="1200" w:type="pct"/>
            <w:shd w:val="clear" w:color="auto" w:fill="E7F0F9"/>
          </w:tcPr>
          <w:p>
            <w:pPr>
              <w:spacing w:before="0" w:after="0" w:line="240" w:lineRule="auto"/>
              <w:jc w:val="left"/>
            </w:pPr>
            <w:r>
              <w:rPr>
                <w:b/>
              </w:rPr>
              <w:t xml:space="preserve">Naziv obveznika</w:t>
            </w:r>
          </w:p>
        </w:tc>
        <w:tc>
          <w:tcPr>
            <w:shd w:val="clear" w:color="auto" w:fill="E7F0F9"/>
          </w:tcPr>
          <w:p>
            <w:pPr>
              <w:spacing w:before="0" w:after="0" w:line="240" w:lineRule="auto"/>
              <w:jc w:val="left"/>
            </w:pPr>
            <w:r>
              <w:t xml:space="preserve">DJEČJI VRTIĆ ZVONČIĆ OZALJ</w:t>
            </w:r>
          </w:p>
        </w:tc>
      </w:tr>
      <w:tr>
        <w:tc>
          <w:tcPr>
            <w:tcW w:w="1200" w:type="pct"/>
            <w:shd w:val="clear" w:color="auto" w:fill="E7F0F9"/>
          </w:tcPr>
          <w:p>
            <w:pPr>
              <w:spacing w:before="0" w:after="0" w:line="240" w:lineRule="auto"/>
              <w:jc w:val="left"/>
            </w:pPr>
            <w:r>
              <w:rPr>
                <w:b/>
              </w:rPr>
              <w:t xml:space="preserve">Razina</w:t>
            </w:r>
          </w:p>
        </w:tc>
        <w:tc>
          <w:tcPr>
            <w:shd w:val="clear" w:color="auto" w:fill="E7F0F9"/>
          </w:tcPr>
          <w:p>
            <w:pPr>
              <w:spacing w:before="0" w:after="0" w:line="240" w:lineRule="auto"/>
              <w:jc w:val="left"/>
            </w:pPr>
            <w:r>
              <w:t xml:space="preserve">21</w:t>
            </w:r>
          </w:p>
        </w:tc>
      </w:tr>
    </w:tbl>
    <w:p>
      <w:r>
        <w:br/>
      </w:r>
    </w:p>
    <w:p>
      <w:pPr>
        <w:jc w:val="center"/>
        <w:pStyle w:val="Normal"/>
        <w:spacing w:line="240" w:lineRule="auto"/>
      </w:pPr>
      <w:r>
        <w:rPr>
          <w:b/>
          <w:sz w:val="28"/>
          <w:rFonts w:ascii="Times New Roman" w:hAnsi="Times New Roman"/>
        </w:rPr>
        <w:t xml:space="preserve">BILJEŠKE UZ FINANCIJSKE IZVJEŠTAJE</w:t>
      </w:r>
    </w:p>
    <w:p>
      <w:pPr>
        <w:jc w:val="center"/>
        <w:pStyle w:val="Normal"/>
        <w:spacing w:line="240" w:lineRule="auto"/>
      </w:pPr>
      <w:r>
        <w:rPr>
          <w:b/>
          <w:sz w:val="28"/>
          <w:rFonts w:ascii="Times New Roman" w:hAnsi="Times New Roman"/>
        </w:rPr>
        <w:t xml:space="preserve">ZA RAZDOBLJE</w:t>
      </w:r>
    </w:p>
    <w:p>
      <w:pPr>
        <w:jc w:val="center"/>
        <w:pStyle w:val="Normal"/>
        <w:spacing w:line="240" w:lineRule="auto"/>
      </w:pPr>
      <w:r>
        <w:rPr>
          <w:b/>
          <w:sz w:val="28"/>
          <w:rFonts w:ascii="Times New Roman" w:hAnsi="Times New Roman"/>
        </w:rPr>
        <w:t xml:space="preserve">I - XII 2025.</w:t>
      </w:r>
    </w:p>
    <w:p/>
    <w:p>
      <w:pPr>
        <w:jc w:val="center"/>
        <w:pStyle w:val="Normal"/>
        <w:spacing w:line="240" w:lineRule="auto"/>
        <w:keepNext/>
      </w:pPr>
      <w:r>
        <w:rPr>
          <w:b/>
          <w:sz w:val="28"/>
          <w:rFonts w:ascii="Times New Roman" w:hAnsi="Times New Roman"/>
        </w:rPr>
        <w:t xml:space="preserve">Izvještaj o prihodima i rashodima, primicima i izdacima</w:t>
      </w:r>
    </w:p>
    <w:p>
      <w:pPr>
        <w:jc w:val="center"/>
        <w:pStyle w:val="Normal"/>
        <w:spacing w:line="240" w:lineRule="auto"/>
        <w:keepNext/>
      </w:pPr>
      <w:r>
        <w:rPr>
          <w:sz w:val="28"/>
          <w:rFonts w:ascii="Times New Roman" w:hAnsi="Times New Roman"/>
        </w:rPr>
        <w:t xml:space="preserve">Bilješka 1.</w:t>
      </w:r>
    </w:p>
    <w:tbl>
      <w:tblPr>
        <w:tblBorders>
          <w:top w:val="single" w:color="BABABA" w:sz="12"/>
          <w:bottom w:val="single" w:color="BABABA" w:sz="12"/>
          <w:left w:val="single" w:color="BABABA" w:sz="12"/>
          <w:right w:val="single" w:color="BABABA" w:sz="12"/>
          <w:insideH w:val="single" w:color="BABABA" w:sz="8"/>
          <w:insideV w:val="single" w:color="DADADA" w:sz="8"/>
        </w:tblBorders>
        <w:tblW w:w="0" w:type="auto"/>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982.869,69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1.106.484,24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112,6</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947.119,19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1.096.945,58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115,8</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 PRIHODA POSLOVANJA (šifre 6-Z005)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35.750,50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9.538,66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26,7</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22.968,03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9.643,65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42,0</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22.968,03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9.643,65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42,0</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VIŠAK/MANJAK PRIMITAKA OD FINANCIJSKE IMOVINE I ZADUŽIVANJA (šifre 8-5, 5-8)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X003, Y003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I PRIMITAKA (šifre Y345-X678)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104,99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bl>
    <w:p>
      <w:pPr>
        <w:spacing w:before="0" w:after="0"/>
      </w:pPr>
    </w:p>
    <w:p>
      <w:r>
        <w:t xml:space="preserve">U 2025. godini ostvaren je višak prihoda poslovanja (šifra X001) od 9.538,66 eura jer su prihodi veći od rashoda poslovanja. Što se tiče prihoda i rashoda od nefinancijske imovine, ostvaren je manjak u iznosu 9.643,65 eura (Y002).</w:t>
      </w:r>
    </w:p>
    <w:p>
      <w:r>
        <w:br/>
      </w:r>
    </w:p>
    <w:p>
      <w:pPr>
        <w:jc w:val="center"/>
        <w:pStyle w:val="Normal"/>
        <w:spacing w:line="240" w:lineRule="auto"/>
        <w:keepNext/>
      </w:pPr>
      <w:r>
        <w:rPr>
          <w:sz w:val="28"/>
          <w:rFonts w:ascii="Times New Roman" w:hAnsi="Times New Roman"/>
        </w:rPr>
        <w:t xml:space="preserve">Bilješka 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982.869,69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1.106.484,24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112,6</w:t>
            </w:r>
          </w:p>
        </w:tc>
      </w:tr>
    </w:tbl>
    <w:p>
      <w:pPr>
        <w:spacing w:before="0" w:after="0"/>
      </w:pPr>
    </w:p>
    <w:p>
      <w:r>
        <w:t xml:space="preserve">Ukupni prihodi poslovanja su u odnosu na isto razdoblje prošle godine uvećani za 12,6% prvenstveno zbog primljenih donacija te uvećanih prihoda od pruženih usluga. Također, ostvareni su veći prihodi iz nadležnog proračuna za financiranje rashoda poslovanja radi većih potreba.</w:t>
      </w:r>
    </w:p>
    <w:p/>
    <w:p>
      <w:pPr>
        <w:jc w:val="center"/>
        <w:pStyle w:val="Normal"/>
        <w:spacing w:line="240" w:lineRule="auto"/>
        <w:keepNext/>
      </w:pPr>
      <w:r>
        <w:rPr>
          <w:sz w:val="28"/>
          <w:rFonts w:ascii="Times New Roman" w:hAnsi="Times New Roman"/>
        </w:rPr>
        <w:t xml:space="preserve">Bilješka 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6341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pomoći od izvanproračunskih korisnika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114,29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Prihod na kontu tekućih pomoći od izvanproračunskih korisnika obuhvaća sredstva Hrvatskog zavoda za zdravstveno osiguranje temeljem zahtjeva za povrat sredstava plaćenih na ime prethodnog pregleda pri zapošljavanju na poslovima s posebnim uvjetima rada. </w:t>
      </w:r>
    </w:p>
    <w:p/>
    <w:p>
      <w:pPr>
        <w:jc w:val="center"/>
        <w:pStyle w:val="Normal"/>
        <w:spacing w:line="240" w:lineRule="auto"/>
        <w:keepNext/>
      </w:pPr>
      <w:r>
        <w:rPr>
          <w:sz w:val="28"/>
          <w:rFonts w:ascii="Times New Roman" w:hAnsi="Times New Roman"/>
        </w:rPr>
        <w:t xml:space="preserve">Bilješka 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Pomoći proračunskim korisnicima iz proračuna koji im nije nadležan (šifre 6361+6362)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11.211,21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7.928,96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70,7</w:t>
            </w:r>
          </w:p>
        </w:tc>
      </w:tr>
    </w:tbl>
    <w:p>
      <w:pPr>
        <w:spacing w:before="0" w:after="0"/>
      </w:pPr>
    </w:p>
    <w:p>
      <w:r>
        <w:t xml:space="preserve">U 2025. godini ostvaren je manji obujam pomoći Ministarstva znanosti, obrazovanja i mladih što je posljedica manjeg broja prijavljene djece pripadnika nacionalnih manjina i djece s teškoćama u razvoju.</w:t>
      </w:r>
    </w:p>
    <w:p/>
    <w:p>
      <w:pPr>
        <w:jc w:val="center"/>
        <w:pStyle w:val="Normal"/>
        <w:spacing w:line="240" w:lineRule="auto"/>
        <w:keepNext/>
      </w:pPr>
      <w:r>
        <w:rPr>
          <w:sz w:val="28"/>
          <w:rFonts w:ascii="Times New Roman" w:hAnsi="Times New Roman"/>
        </w:rPr>
        <w:t xml:space="preserve">Bilješka 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donacije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1.250,00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1388,9</w:t>
            </w:r>
          </w:p>
        </w:tc>
      </w:tr>
    </w:tbl>
    <w:p>
      <w:pPr>
        <w:spacing w:before="0" w:after="0"/>
      </w:pPr>
    </w:p>
    <w:p>
      <w:r>
        <w:t xml:space="preserve">Prihod od tekućih donacija bilježi povećanje kao rezultat primljene donacije posteljine u vrijednosti 1.250,00 eura.</w:t>
      </w:r>
    </w:p>
    <w:p/>
    <w:p>
      <w:pPr>
        <w:jc w:val="center"/>
        <w:pStyle w:val="Normal"/>
        <w:spacing w:line="240" w:lineRule="auto"/>
        <w:keepNext/>
      </w:pPr>
      <w:r>
        <w:rPr>
          <w:sz w:val="28"/>
          <w:rFonts w:ascii="Times New Roman" w:hAnsi="Times New Roman"/>
        </w:rPr>
        <w:t xml:space="preserve">Bilješka 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Kapitalne donacije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Kapitalne donacije odnose se na donaciju sredstava od trgovačkog društva koja je iskorištena za nabavu dugotrajne imovine.</w:t>
      </w:r>
    </w:p>
    <w:p/>
    <w:p>
      <w:pPr>
        <w:jc w:val="center"/>
        <w:pStyle w:val="Normal"/>
        <w:spacing w:line="240" w:lineRule="auto"/>
        <w:keepNext/>
      </w:pPr>
      <w:r>
        <w:rPr>
          <w:sz w:val="28"/>
          <w:rFonts w:ascii="Times New Roman" w:hAnsi="Times New Roman"/>
        </w:rPr>
        <w:t xml:space="preserve">Bilješka 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zaposlene (šifre 311+312+313)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766.835,43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931.676,91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121,5</w:t>
            </w:r>
          </w:p>
        </w:tc>
      </w:tr>
    </w:tbl>
    <w:p>
      <w:pPr>
        <w:spacing w:before="0" w:after="0"/>
      </w:pPr>
    </w:p>
    <w:p>
      <w:r>
        <w:t xml:space="preserve">Rashodi za zaposlene (račun 31) uvećani su za 21,5% kao rezultat povećanja materijalnih prava djelatnika tj. povećanja osnovica za obračun plaća što je rezultiralo većim rashodima na računima 311 i 313.</w:t>
      </w:r>
    </w:p>
    <w:p/>
    <w:p>
      <w:pPr>
        <w:jc w:val="center"/>
        <w:pStyle w:val="Normal"/>
        <w:spacing w:line="240" w:lineRule="auto"/>
        <w:keepNext/>
      </w:pPr>
      <w:r>
        <w:rPr>
          <w:sz w:val="28"/>
          <w:rFonts w:ascii="Times New Roman" w:hAnsi="Times New Roman"/>
        </w:rPr>
        <w:t xml:space="preserve">Bilješka 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rashodi za zaposlene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29.192,38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40.870,72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140,0</w:t>
            </w:r>
          </w:p>
        </w:tc>
      </w:tr>
    </w:tbl>
    <w:p>
      <w:pPr>
        <w:spacing w:before="0" w:after="0"/>
      </w:pPr>
    </w:p>
    <w:p>
      <w:r>
        <w:t xml:space="preserve">U ovom izvještajnom razdoblju osigurana su sredstva za ostale rashode za zaposlene u vidu neoporezivih primitaka: regres za godišnji odmor, božićnica, bonus za uspješan rad, dar djeci i jubilarne nagrade. </w:t>
      </w:r>
    </w:p>
    <w:p/>
    <w:p>
      <w:pPr>
        <w:jc w:val="center"/>
        <w:pStyle w:val="Normal"/>
        <w:spacing w:line="240" w:lineRule="auto"/>
        <w:keepNext/>
      </w:pPr>
      <w:r>
        <w:rPr>
          <w:sz w:val="28"/>
          <w:rFonts w:ascii="Times New Roman" w:hAnsi="Times New Roman"/>
        </w:rPr>
        <w:t xml:space="preserve">Bilješka 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Naknade za prijevoz, za rad na terenu i odvojeni život</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28.777,05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19.962,60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69,4</w:t>
            </w:r>
          </w:p>
        </w:tc>
      </w:tr>
    </w:tbl>
    <w:p>
      <w:pPr>
        <w:spacing w:before="0" w:after="0"/>
      </w:pPr>
    </w:p>
    <w:p>
      <w:r>
        <w:t xml:space="preserve">Rashodi naknada za prijevoz su u smanjenju za 31 posto, a radi promjene načina izračuna naknada za prijevoz.</w:t>
      </w:r>
    </w:p>
    <w:p/>
    <w:p>
      <w:pPr>
        <w:jc w:val="center"/>
        <w:pStyle w:val="Normal"/>
        <w:spacing w:line="240" w:lineRule="auto"/>
        <w:keepNext/>
      </w:pPr>
      <w:r>
        <w:rPr>
          <w:sz w:val="28"/>
          <w:rFonts w:ascii="Times New Roman" w:hAnsi="Times New Roman"/>
        </w:rPr>
        <w:t xml:space="preserve">Bilješka 10.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Sitni inventar i autogume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142,97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1.521,24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1064,0</w:t>
            </w:r>
          </w:p>
        </w:tc>
      </w:tr>
    </w:tbl>
    <w:p>
      <w:pPr>
        <w:spacing w:before="0" w:after="0"/>
      </w:pPr>
    </w:p>
    <w:p>
      <w:r>
        <w:t xml:space="preserve">Već ranije spominjana donacija posteljine knjižena je na konto sitnog inventara što je uzrok povećanju u odnosu na isto razdoblje prošle godine.</w:t>
      </w:r>
    </w:p>
    <w:p/>
    <w:p>
      <w:pPr>
        <w:jc w:val="center"/>
        <w:pStyle w:val="Normal"/>
        <w:spacing w:line="240" w:lineRule="auto"/>
        <w:keepNext/>
      </w:pPr>
      <w:r>
        <w:rPr>
          <w:sz w:val="28"/>
          <w:rFonts w:ascii="Times New Roman" w:hAnsi="Times New Roman"/>
        </w:rPr>
        <w:t xml:space="preserve">Bilješka 11.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Računalne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1.159,65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2.897,88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249,9</w:t>
            </w:r>
          </w:p>
        </w:tc>
      </w:tr>
    </w:tbl>
    <w:p>
      <w:pPr>
        <w:spacing w:before="0" w:after="0"/>
      </w:pPr>
    </w:p>
    <w:p>
      <w:r>
        <w:t xml:space="preserve">Računalne usluge prikazuju znatno povećanje koje je posljedica izrade nove web stranice za proračunskog korisnika. </w:t>
      </w:r>
    </w:p>
    <w:p/>
    <w:p>
      <w:pPr>
        <w:jc w:val="center"/>
        <w:pStyle w:val="Normal"/>
        <w:spacing w:line="240" w:lineRule="auto"/>
        <w:keepNext/>
      </w:pPr>
      <w:r>
        <w:rPr>
          <w:sz w:val="28"/>
          <w:rFonts w:ascii="Times New Roman" w:hAnsi="Times New Roman"/>
        </w:rPr>
        <w:t xml:space="preserve">Bilješka 12.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22.968,03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9.643,65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42,0</w:t>
            </w:r>
          </w:p>
        </w:tc>
      </w:tr>
    </w:tbl>
    <w:p>
      <w:pPr>
        <w:spacing w:before="0" w:after="0"/>
      </w:pPr>
    </w:p>
    <w:p>
      <w:r>
        <w:t xml:space="preserve">Znatno smanjenje na rashodima za nabavu nefinancijske imovine uzrokovano je manjom potrebom za nabavom dugotrajne imovine. </w:t>
      </w:r>
    </w:p>
    <w:p/>
    <w:p>
      <w:pPr>
        <w:jc w:val="center"/>
        <w:pStyle w:val="Normal"/>
        <w:spacing w:line="240" w:lineRule="auto"/>
        <w:keepNext/>
      </w:pPr>
      <w:r>
        <w:rPr>
          <w:sz w:val="28"/>
          <w:rFonts w:ascii="Times New Roman" w:hAnsi="Times New Roman"/>
        </w:rPr>
        <w:t xml:space="preserve">Bilješka 13.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Uredska oprema i namještaj</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61,88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1.618,48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2615,5</w:t>
            </w:r>
          </w:p>
        </w:tc>
      </w:tr>
    </w:tbl>
    <w:p>
      <w:pPr>
        <w:spacing w:before="0" w:after="0"/>
      </w:pPr>
    </w:p>
    <w:p>
      <w:r>
        <w:t xml:space="preserve">Na kontu 4221 knjižena je nabava laptopa i odgovarajućeg softvera te pripadajuće opreme za potrebe ureda ravnatelja, što je financirano iz kapitalne donacije.</w:t>
      </w:r>
    </w:p>
    <w:p/>
    <w:p>
      <w:pPr>
        <w:jc w:val="center"/>
        <w:pStyle w:val="Normal"/>
        <w:spacing w:line="240" w:lineRule="auto"/>
        <w:keepNext/>
      </w:pPr>
      <w:r>
        <w:rPr>
          <w:sz w:val="28"/>
          <w:rFonts w:ascii="Times New Roman" w:hAnsi="Times New Roman"/>
        </w:rPr>
        <w:t xml:space="preserve">Bilješka 14.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Oprema za održavanje i zaštitu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11.639,07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U ovom razdoblju nije bilo potrebe za nabavom opreme za održavanje i zaštitu.</w:t>
      </w:r>
    </w:p>
    <w:p/>
    <w:p>
      <w:pPr>
        <w:jc w:val="center"/>
        <w:pStyle w:val="Normal"/>
        <w:spacing w:line="240" w:lineRule="auto"/>
        <w:keepNext/>
      </w:pPr>
      <w:r>
        <w:rPr>
          <w:sz w:val="28"/>
          <w:rFonts w:ascii="Times New Roman" w:hAnsi="Times New Roman"/>
        </w:rPr>
        <w:t xml:space="preserve">Bilješka 15.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11-dugov.</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Ukupni priljevi na novčane račune i blagajne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11-dugov.</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6.202,61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1.057,71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17,1</w:t>
            </w:r>
          </w:p>
        </w:tc>
      </w:tr>
    </w:tbl>
    <w:p>
      <w:pPr>
        <w:spacing w:before="0" w:after="0"/>
      </w:pPr>
    </w:p>
    <w:p>
      <w:r>
        <w:t xml:space="preserve">Na računima šifra 11 se od ožujka ne bilježi promet iz razloga što se više ne vodi blagajničko poslovanje već se sve obveze koje su do sada isplaćivane u gotovini, isplaćuju elektronski na račun djelatnika.</w:t>
      </w:r>
    </w:p>
    <w:p/>
    <w:p>
      <w:pPr>
        <w:jc w:val="center"/>
        <w:pStyle w:val="Normal"/>
        <w:spacing w:line="240" w:lineRule="auto"/>
        <w:keepNext/>
      </w:pPr>
      <w:r>
        <w:rPr>
          <w:sz w:val="28"/>
          <w:rFonts w:ascii="Times New Roman" w:hAnsi="Times New Roman"/>
        </w:rPr>
        <w:t xml:space="preserve">Bilješka 16.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32372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Ugovori o djelu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32372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1.280,76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Zbog iznenadne krizne situacije pojavila se potreba za sklapanjem ugovora o djelu sa stručnim osobama iz područja psihologije što je povećalo rashode na računu 32372. </w:t>
      </w:r>
    </w:p>
    <w:p/>
    <w:p>
      <w:pPr>
        <w:jc w:val="center"/>
        <w:pStyle w:val="Normal"/>
        <w:spacing w:line="240" w:lineRule="auto"/>
        <w:keepNext/>
      </w:pPr>
      <w:r>
        <w:rPr>
          <w:b/>
          <w:sz w:val="28"/>
          <w:rFonts w:ascii="Times New Roman" w:hAnsi="Times New Roman"/>
        </w:rPr>
        <w:t xml:space="preserve">Bilanca</w:t>
      </w:r>
    </w:p>
    <w:p>
      <w:pPr>
        <w:jc w:val="center"/>
        <w:pStyle w:val="Normal"/>
        <w:spacing w:line="240" w:lineRule="auto"/>
        <w:keepNext/>
      </w:pPr>
      <w:r>
        <w:rPr>
          <w:sz w:val="28"/>
          <w:rFonts w:ascii="Times New Roman" w:hAnsi="Times New Roman"/>
        </w:rPr>
        <w:t xml:space="preserve">Bilješka 17.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IMOVINA (šifre B002+1)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B001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151.251,55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160.944,06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106,4</w:t>
            </w:r>
          </w:p>
        </w:tc>
      </w:tr>
    </w:tbl>
    <w:p>
      <w:pPr>
        <w:spacing w:before="0" w:after="0"/>
      </w:pPr>
    </w:p>
    <w:p>
      <w:r>
        <w:t xml:space="preserve">Stanje imovine u izvještajnom razdoblju ne pokazuje značajna odstupanja u odnosu na isto razdoblje prethodne godine.</w:t>
      </w:r>
    </w:p>
    <w:p/>
    <w:p>
      <w:pPr>
        <w:jc w:val="center"/>
        <w:pStyle w:val="Normal"/>
        <w:spacing w:line="240" w:lineRule="auto"/>
        <w:keepNext/>
      </w:pPr>
      <w:r>
        <w:rPr>
          <w:sz w:val="28"/>
          <w:rFonts w:ascii="Times New Roman" w:hAnsi="Times New Roman"/>
        </w:rPr>
        <w:t xml:space="preserve">Bilješka 18.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Uredska oprema i namještaj</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36.564,80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41.824,13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114,4</w:t>
            </w:r>
          </w:p>
        </w:tc>
      </w:tr>
    </w:tbl>
    <w:p>
      <w:pPr>
        <w:spacing w:before="0" w:after="0"/>
      </w:pPr>
    </w:p>
    <w:p>
      <w:r>
        <w:t xml:space="preserve">U 2025. godini proračunski korisnik nabavio je uredsku opremu i namještaj u vrijednosti 5.259,33 eura od čega je najznačajnija nabava laptopa i odgovarajućeg softvera te pripadajuće opreme za potrebe ureda ravnatelja.</w:t>
      </w:r>
    </w:p>
    <w:p/>
    <w:p>
      <w:pPr>
        <w:jc w:val="center"/>
        <w:pStyle w:val="Normal"/>
        <w:spacing w:line="240" w:lineRule="auto"/>
        <w:keepNext/>
      </w:pPr>
      <w:r>
        <w:rPr>
          <w:sz w:val="28"/>
          <w:rFonts w:ascii="Times New Roman" w:hAnsi="Times New Roman"/>
        </w:rPr>
        <w:t xml:space="preserve">Bilješka 19.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Financijska imovina (šifre 11+12+13+14+15+16+17+19)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109.589,27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123.982,52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113,1</w:t>
            </w:r>
          </w:p>
        </w:tc>
      </w:tr>
    </w:tbl>
    <w:p>
      <w:pPr>
        <w:spacing w:before="0" w:after="0"/>
      </w:pPr>
    </w:p>
    <w:p>
      <w:r>
        <w:t xml:space="preserve">Financijska imovina prikazuje povećanje od 13% što je odraz smanjenja potraživanja koja se odnose na refundacije bolovanja na teret HZZO (račun 129) i povećanja potraživanja na računima 16.</w:t>
      </w:r>
    </w:p>
    <w:p/>
    <w:p>
      <w:pPr>
        <w:jc w:val="center"/>
        <w:pStyle w:val="Normal"/>
        <w:spacing w:line="240" w:lineRule="auto"/>
        <w:keepNext/>
      </w:pPr>
      <w:r>
        <w:rPr>
          <w:sz w:val="28"/>
          <w:rFonts w:ascii="Times New Roman" w:hAnsi="Times New Roman"/>
        </w:rPr>
        <w:t xml:space="preserve">Bilješka 20.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zaposlene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69.104,76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78.398,64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113,4</w:t>
            </w:r>
          </w:p>
        </w:tc>
      </w:tr>
    </w:tbl>
    <w:p>
      <w:pPr>
        <w:spacing w:before="0" w:after="0"/>
      </w:pPr>
    </w:p>
    <w:p>
      <w:r>
        <w:t xml:space="preserve">U odnosu na isto razdoblje prethodne godine, rashodi za zaposlene (račun 231) odstupaju za 13%, što je posljedica povećanja materijalnih prava djelatnika tj. povećanja osnovica za obračun plaća.</w:t>
      </w:r>
    </w:p>
    <w:p/>
    <w:p>
      <w:pPr>
        <w:jc w:val="center"/>
        <w:pStyle w:val="Normal"/>
        <w:spacing w:line="240" w:lineRule="auto"/>
        <w:keepNext/>
      </w:pPr>
      <w:r>
        <w:rPr>
          <w:sz w:val="28"/>
          <w:rFonts w:ascii="Times New Roman" w:hAnsi="Times New Roman"/>
        </w:rPr>
        <w:t xml:space="preserve">Bilješka 21.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Rezultat - višak/manjak (šifre 9221-9222)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15.404,67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15.299,67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99,3</w:t>
            </w:r>
          </w:p>
        </w:tc>
      </w:tr>
    </w:tbl>
    <w:p>
      <w:pPr>
        <w:spacing w:before="0" w:after="0"/>
      </w:pPr>
    </w:p>
    <w:p>
      <w:r>
        <w:t xml:space="preserve">Na kraju 2024. godine utvrđen je višak prihoda poslovanja u iznosu 30.995,23 eura te manjak prihoda od nefinancijske imovine u iznosu 15.590,56 eura. </w:t>
      </w:r>
    </w:p>
    <w:p>
      <w:r>
        <w:t xml:space="preserve">Odlukom o raspodjeli rezultata za 2024. godinu raspoređuju se sredstva sa viška prihoda poslovanja na pokriće iskazanog manjka prihoda od nefinancijske imovine. Od preostalog viška prihoda poslovanja, 1.670,60 eura se raspoređuje na višak prihoda od nefinancijske imovine. </w:t>
      </w:r>
    </w:p>
    <w:p>
      <w:r>
        <w:t xml:space="preserve">Nakon izvršene raspodjele stanje viška prihoda poslovanja iznosilo je 13.734,07 eura, a višak prihoda od nefinancijske imovine iznosio je 1.670,60 eura.</w:t>
      </w:r>
    </w:p>
    <w:p>
      <w:r>
        <w:t xml:space="preserve">Tijekom 2025. godine ustanovljeno je da je kod jednog poslovnog partnera prilikom konverzije preneseno krivo početno stanje što je rezultiralo manjkom prihoda poslovanja na računu 92224 Ispravci iz prethodnih razdoblja za 0,01 euro. Navedeno je umanjilo višak prihoda poslovanja koji je nakon I. izmjene odluke o raspodjeli rezultata iznosio 13.734,06 eura.</w:t>
      </w:r>
    </w:p>
    <w:p>
      <w:r>
        <w:t xml:space="preserve">Na kraju izvještajnog razdoblja ukupni rashodi poslovanja iznose 1.096.945,58 eura, a ukupni prihodi iznose 1.106.484,24 eura, čime je ostvaren višak  prihoda poslovanja u iznosu 9.538,66 eura.</w:t>
      </w:r>
    </w:p>
    <w:p>
      <w:r>
        <w:t xml:space="preserve">Rashodi za nabavu nefinancijske imovine iznose 9.643,65 eura te se prenose na manjak prihoda od nefinancijske imovine.</w:t>
      </w:r>
    </w:p>
    <w:p>
      <w:r>
        <w:t xml:space="preserve">Ostvareni manjak prihoda od nefinancijske imovine prebija se sa prenesenim viškom prihoda od nefinancijske imovine iz 2024. godine te nakon prebijanja iznosi 7.973,05.</w:t>
      </w:r>
    </w:p>
    <w:p>
      <w:r>
        <w:t xml:space="preserve">Izvršena je korekcija rezultata za iznos kapitalnih pomoći proračunskim korisnicima iz proračuna koji im nije nadležan (račun 6362) za iznos 4.584,50 eura nakon čega ukupni višak prihoda poslovanja iznosi 18.688,22 eura (račun 92221), a manjak prihoda od nefinancijske imovine nakon korekcije iznosi 3.388,55 eura (račun 92222).</w:t>
      </w:r>
    </w:p>
    <w:p>
      <w:r>
        <w:t xml:space="preserve">Rezultat po izvorima financiranja:</w:t>
      </w:r>
    </w:p>
    <w:tbl>
      <w:tblPr>
        <w:tblStyle w:val="TableGrid"/>
        <w:tblW w:w="5000" w:type="pct"/>
      </w:tblPr>
      <w:tblGrid>
        <w:gridCol w:w="2406"/>
        <w:gridCol w:w="2406"/>
        <w:gridCol w:w="4811"/>
      </w:tblGrid>
      <w:tr>
        <w:trPr>
          <w:trHeight w:val="542" w:hRule="atLeast"/>
        </w:trPr>
        <w:tc>
          <w:tcPr>
            <w:tcW w:w="1250" w:type="pct"/>
            <w:vMerge w:val="restart"/>
            <w:vAlign w:val="center"/>
          </w:tcPr>
          <w:p>
            <w:pPr>
              <w:keepNext/>
              <w:jc w:val="center"/>
            </w:pPr>
            <w:r>
              <w:t xml:space="preserve">IZVOR</w:t>
            </w:r>
          </w:p>
        </w:tc>
        <w:tc>
          <w:tcPr>
            <w:tcW w:w="1250" w:type="pct"/>
            <w:gridSpan w:val="2"/>
            <w:vAlign w:val="center"/>
          </w:tcPr>
          <w:p>
            <w:pPr>
              <w:keepNext/>
              <w:jc w:val="center"/>
            </w:pPr>
            <w:r>
              <w:t xml:space="preserve">KONTO</w:t>
            </w:r>
          </w:p>
        </w:tc>
      </w:tr>
      <w:tr>
        <w:trPr>
          <w:trHeight w:val="542" w:hRule="atLeast"/>
        </w:trPr>
        <w:tc>
          <w:tcPr>
            <w:tcW w:w="0"/>
            <w:vMerge w:val="continue"/>
          </w:tcPr>
          <w:p/>
        </w:tc>
        <w:tc>
          <w:tcPr>
            <w:tcW w:w="1250" w:type="pct"/>
            <w:vAlign w:val="center"/>
          </w:tcPr>
          <w:p>
            <w:pPr>
              <w:keepNext/>
              <w:jc w:val="center"/>
            </w:pPr>
            <w:r>
              <w:t xml:space="preserve">Manjak prihoda poslovanja</w:t>
            </w:r>
          </w:p>
        </w:tc>
        <w:tc>
          <w:tcPr>
            <w:tcW w:w="1250" w:type="pct"/>
            <w:vAlign w:val="center"/>
          </w:tcPr>
          <w:p>
            <w:pPr>
              <w:keepNext/>
              <w:jc w:val="center"/>
            </w:pPr>
            <w:r>
              <w:t xml:space="preserve">Višak prihoda poslovanja</w:t>
            </w:r>
          </w:p>
        </w:tc>
      </w:tr>
      <w:tr>
        <w:trPr>
          <w:trHeight w:val="542" w:hRule="atLeast"/>
        </w:trPr>
        <w:tc>
          <w:tcPr>
            <w:tcW w:w="1250" w:type="pct"/>
            <w:vAlign w:val="center"/>
          </w:tcPr>
          <w:p>
            <w:r>
              <w:t xml:space="preserve">Opći prihodi i primici</w:t>
            </w:r>
          </w:p>
        </w:tc>
        <w:tc>
          <w:tcPr>
            <w:tcW w:w="1250" w:type="pct"/>
            <w:vAlign w:val="center"/>
          </w:tcPr>
          <w:p>
            <w:pPr>
              <w:keepNext/>
              <w:jc w:val="center"/>
            </w:pPr>
            <w:r>
              <w:t xml:space="preserve">17.715,45</w:t>
            </w:r>
          </w:p>
        </w:tc>
        <w:tc>
          <w:tcPr>
            <w:tcW w:w="2500" w:type="pct"/>
            <w:vAlign w:val="center"/>
          </w:tcPr>
          <w:p>
            <w:r>
              <w:t xml:space="preserve"> </w:t>
            </w:r>
          </w:p>
        </w:tc>
      </w:tr>
      <w:tr>
        <w:trPr>
          <w:trHeight w:val="542" w:hRule="atLeast"/>
        </w:trPr>
        <w:tc>
          <w:tcPr>
            <w:tcW w:w="1250" w:type="pct"/>
            <w:vAlign w:val="center"/>
          </w:tcPr>
          <w:p>
            <w:r>
              <w:t xml:space="preserve">Vlastiti prihodi</w:t>
            </w:r>
          </w:p>
        </w:tc>
        <w:tc>
          <w:tcPr>
            <w:tcW w:w="1250" w:type="pct"/>
            <w:vAlign w:val="center"/>
          </w:tcPr>
          <w:p>
            <w:r>
              <w:t xml:space="preserve"> </w:t>
            </w:r>
          </w:p>
        </w:tc>
        <w:tc>
          <w:tcPr>
            <w:tcW w:w="2500" w:type="pct"/>
            <w:vAlign w:val="center"/>
          </w:tcPr>
          <w:p>
            <w:pPr>
              <w:keepNext/>
              <w:jc w:val="center"/>
            </w:pPr>
            <w:r>
              <w:t xml:space="preserve">- 2.017,79</w:t>
            </w:r>
          </w:p>
        </w:tc>
      </w:tr>
      <w:tr>
        <w:trPr>
          <w:trHeight w:val="542" w:hRule="atLeast"/>
        </w:trPr>
        <w:tc>
          <w:tcPr>
            <w:tcW w:w="1250" w:type="pct"/>
            <w:vAlign w:val="center"/>
          </w:tcPr>
          <w:p>
            <w:r>
              <w:t xml:space="preserve">Prihodi za posebne namjene</w:t>
            </w:r>
          </w:p>
        </w:tc>
        <w:tc>
          <w:tcPr>
            <w:tcW w:w="1250" w:type="pct"/>
            <w:vAlign w:val="center"/>
          </w:tcPr>
          <w:p>
            <w:r>
              <w:t xml:space="preserve"> </w:t>
            </w:r>
          </w:p>
        </w:tc>
        <w:tc>
          <w:tcPr>
            <w:tcW w:w="2500" w:type="pct"/>
            <w:vAlign w:val="center"/>
          </w:tcPr>
          <w:p>
            <w:pPr>
              <w:keepNext/>
              <w:jc w:val="center"/>
            </w:pPr>
            <w:r>
              <w:t xml:space="preserve">- 29.959,47</w:t>
            </w:r>
          </w:p>
        </w:tc>
      </w:tr>
      <w:tr>
        <w:trPr>
          <w:trHeight w:val="542" w:hRule="atLeast"/>
        </w:trPr>
        <w:tc>
          <w:tcPr>
            <w:tcW w:w="1250" w:type="pct"/>
            <w:vAlign w:val="center"/>
          </w:tcPr>
          <w:p>
            <w:r>
              <w:t xml:space="preserve">Pomoći iz državnog proračuna</w:t>
            </w:r>
          </w:p>
        </w:tc>
        <w:tc>
          <w:tcPr>
            <w:tcW w:w="1250" w:type="pct"/>
            <w:vAlign w:val="center"/>
          </w:tcPr>
          <w:p>
            <w:r>
              <w:t xml:space="preserve"> </w:t>
            </w:r>
          </w:p>
        </w:tc>
        <w:tc>
          <w:tcPr>
            <w:tcW w:w="2500" w:type="pct"/>
            <w:vAlign w:val="center"/>
          </w:tcPr>
          <w:p>
            <w:pPr>
              <w:keepNext/>
              <w:jc w:val="center"/>
            </w:pPr>
            <w:r>
              <w:t xml:space="preserve">- 923,57</w:t>
            </w:r>
          </w:p>
        </w:tc>
      </w:tr>
      <w:tr>
        <w:trPr>
          <w:trHeight w:val="878" w:hRule="atLeast"/>
        </w:trPr>
        <w:tc>
          <w:tcPr>
            <w:tcW w:w="1250" w:type="pct"/>
            <w:vAlign w:val="center"/>
          </w:tcPr>
          <w:p>
            <w:r>
              <w:t xml:space="preserve">Pomoći od izvanproračunskih korisnika</w:t>
            </w:r>
          </w:p>
        </w:tc>
        <w:tc>
          <w:tcPr>
            <w:tcW w:w="1250" w:type="pct"/>
            <w:vAlign w:val="center"/>
          </w:tcPr>
          <w:p>
            <w:r>
              <w:t xml:space="preserve"> </w:t>
            </w:r>
          </w:p>
        </w:tc>
        <w:tc>
          <w:tcPr>
            <w:tcW w:w="2500" w:type="pct"/>
            <w:vAlign w:val="center"/>
          </w:tcPr>
          <w:p>
            <w:pPr>
              <w:keepNext/>
              <w:jc w:val="center"/>
            </w:pPr>
            <w:r>
              <w:t xml:space="preserve">-114,29</w:t>
            </w:r>
          </w:p>
        </w:tc>
      </w:tr>
      <w:tr>
        <w:trPr>
          <w:trHeight w:val="542" w:hRule="atLeast"/>
        </w:trPr>
        <w:tc>
          <w:tcPr>
            <w:tcW w:w="1250" w:type="pct"/>
            <w:vAlign w:val="center"/>
          </w:tcPr>
          <w:p>
            <w:r>
              <w:t xml:space="preserve">REZULTAT</w:t>
            </w:r>
          </w:p>
        </w:tc>
        <w:tc>
          <w:tcPr>
            <w:tcW w:w="1250" w:type="pct"/>
            <w:vAlign w:val="center"/>
          </w:tcPr>
          <w:p>
            <w:r>
              <w:t xml:space="preserve"> </w:t>
            </w:r>
          </w:p>
        </w:tc>
        <w:tc>
          <w:tcPr>
            <w:tcW w:w="2500" w:type="pct"/>
            <w:vAlign w:val="center"/>
          </w:tcPr>
          <w:p>
            <w:r>
              <w:t xml:space="preserve">Višak prihoda poslovanja            -15.299,67</w:t>
            </w:r>
          </w:p>
        </w:tc>
      </w:tr>
    </w:tbl>
    <w:p>
      <w:r>
        <w:t xml:space="preserve"> </w:t>
      </w:r>
    </w:p>
    <w:p/>
    <w:p>
      <w:pPr>
        <w:jc w:val="center"/>
        <w:pStyle w:val="Normal"/>
        <w:spacing w:line="240" w:lineRule="auto"/>
        <w:keepNext/>
      </w:pPr>
      <w:r>
        <w:rPr>
          <w:b/>
          <w:sz w:val="28"/>
          <w:rFonts w:ascii="Times New Roman" w:hAnsi="Times New Roman"/>
        </w:rPr>
        <w:t xml:space="preserve">Promjene u vrijednosti i obujmu imovine i obveza</w:t>
      </w:r>
    </w:p>
    <w:p>
      <w:pPr>
        <w:jc w:val="center"/>
        <w:pStyle w:val="Normal"/>
        <w:spacing w:line="240" w:lineRule="auto"/>
        <w:keepNext/>
      </w:pPr>
      <w:r>
        <w:rPr>
          <w:sz w:val="28"/>
          <w:rFonts w:ascii="Times New Roman" w:hAnsi="Times New Roman"/>
        </w:rPr>
        <w:t xml:space="preserve">Bilješka 22.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povećanja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smanjenja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Proizvedena dugotrajna imovina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14.345,39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Promjene evidentirane na računu 91511 i šifri P003 odnose se na obračun amortizacije 14.137,68 eura te rashodovanje dugotrajne imovine 207,71 euro prema odluci čelnika. Obje aktivnosti umanjile su vrijednost proizvedene dugotrajne imovine. </w:t>
      </w:r>
    </w:p>
    <w:p/>
    <w:p>
      <w:pPr>
        <w:jc w:val="center"/>
        <w:pStyle w:val="Normal"/>
        <w:spacing w:line="240" w:lineRule="auto"/>
        <w:keepNext/>
      </w:pPr>
      <w:r>
        <w:rPr>
          <w:sz w:val="28"/>
          <w:rFonts w:ascii="Times New Roman" w:hAnsi="Times New Roman"/>
        </w:rPr>
        <w:t xml:space="preserve">Bilješka 23.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povećanja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smanjenja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Proizvedena dugotrajna imovina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P018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Na račun 91512 (šifra P018) knjižena je procijenjena vrijednost pisača HP, koji je ugovorom o prijenosu prava vlasništva između osnivača i proračunskog korisnika prešao u vlasništvo korisnika te povećao vrijednost proizvedene dugotrajne imovine. </w:t>
      </w:r>
    </w:p>
    <w:p/>
    <w:p>
      <w:pPr>
        <w:jc w:val="center"/>
        <w:pStyle w:val="Normal"/>
        <w:spacing w:line="240" w:lineRule="auto"/>
        <w:keepNext/>
      </w:pPr>
      <w:r>
        <w:rPr>
          <w:sz w:val="28"/>
          <w:rFonts w:ascii="Times New Roman" w:hAnsi="Times New Roman"/>
        </w:rPr>
        <w:t xml:space="preserve">Bilješka 24.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povećanja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smanjenja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prihode poslovanja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P029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36,64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Smanjenje potraživanja za prihode poslovanja u iznosu 36,64 eura (šifra P029) rezultat je otpisa zastarjelih i nenaplativih potraživanja.  </w:t>
      </w:r>
    </w:p>
    <w:p/>
    <w:p>
      <w:pPr>
        <w:jc w:val="center"/>
        <w:pStyle w:val="Normal"/>
        <w:spacing w:line="240" w:lineRule="auto"/>
        <w:keepNext/>
      </w:pPr>
      <w:r>
        <w:rPr>
          <w:b/>
          <w:sz w:val="28"/>
          <w:rFonts w:ascii="Times New Roman" w:hAnsi="Times New Roman"/>
        </w:rPr>
        <w:t xml:space="preserve">Izvještaj o obvezama</w:t>
      </w:r>
    </w:p>
    <w:p>
      <w:pPr>
        <w:jc w:val="center"/>
        <w:pStyle w:val="Normal"/>
        <w:spacing w:line="240" w:lineRule="auto"/>
        <w:keepNext/>
      </w:pPr>
      <w:r>
        <w:rPr>
          <w:sz w:val="28"/>
          <w:rFonts w:ascii="Times New Roman" w:hAnsi="Times New Roman"/>
        </w:rPr>
        <w:t xml:space="preserve">Bilješka 25.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Povećanje obveza u izvještajnom razdoblju (šifre V003+N23+N24 + 'N dio 25,26'+N27)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1.108.727,66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Povećanje obveza u izvještajnom razdoblju iznosi 1.108.727,66 eura, a smanjenje obveza u izvještajnom razdoblju iznosi 1.094.966,47 eura. Promjene u stanju obveza rezultat su redovnog poslovanja i urednog podmirivanja obveza.</w:t>
      </w:r>
    </w:p>
    <w:p/>
    <w:p>
      <w:pPr>
        <w:jc w:val="center"/>
        <w:pStyle w:val="Normal"/>
        <w:spacing w:line="240" w:lineRule="auto"/>
        <w:keepNext/>
      </w:pPr>
      <w:r>
        <w:rPr>
          <w:sz w:val="28"/>
          <w:rFonts w:ascii="Times New Roman" w:hAnsi="Times New Roman"/>
        </w:rPr>
        <w:t xml:space="preserve">Bilješka 26.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obveza na kraju izvještajnog razdoblja (šifre V001+V002-V004) i (šifre V007+V009)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88.761,33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Nepodmirene obveze na dan 31.12.2025. godine iznose 88.761,33 eura, od čega obveza za plaću za prosinac 2025. godine koja se isplaćuje u siječnju 2026. godine iznosi 78.398,64 eura, a ostatak obveza u iznosu 10.362,69 eura se odnosi na materijalne rashode u iznosu 8.404,19 eura koji također dospijevaju u 2026. godini i na obveze za nabavu nefinancijske imovine u iznosu 1.958,50 eura. </w:t>
      </w:r>
    </w:p>
    <w:p/>
    <w:p>
      <w:pPr>
        <w:jc w:val="center"/>
        <w:pStyle w:val="Normal"/>
        <w:spacing w:line="240" w:lineRule="auto"/>
        <w:keepNext/>
      </w:pPr>
      <w:r>
        <w:rPr>
          <w:sz w:val="28"/>
          <w:rFonts w:ascii="Times New Roman" w:hAnsi="Times New Roman"/>
        </w:rPr>
        <w:t xml:space="preserve">Bilješka 27.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dospjelih obveza na kraju izvještajnog razdoblja (šifre V008+D23+D24 + 'D dio 25,26' + 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1.958,50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Faktura za nabavu nefinancijske imovine u iznosu 1.958,50 eura imala je dospijeće  31.12.2025. godine, međutim na taj dan je faktura tek pristigla u sustav elektronskih računa te je podmirena u veljači 2026. godine. </w:t>
      </w:r>
    </w:p>
    <w:p/>
  </w:body>
</w:document>
</file>

<file path=word/styles.xml><?xml version="1.0" encoding="utf-8"?>
<w:styles xmlns:w="http://schemas.openxmlformats.org/wordprocessingml/2006/main">
  <w:docDefaults>
    <w:rPrDefault>
      <w:rPr>
        <w:rFonts w:ascii="Times New Roman" w:hAnsi="Times New Roman"/>
        <w:sz w:val="24"/>
      </w:rPr>
    </w:rPrDefault>
  </w:docDefaults>
  <w:style w:type="paragraph" w:styleId="Normal" w:default="true">
    <w:name w:val="Normal"/>
    <w:rPr>
      <w:rFonts w:ascii="Times New Roman" w:hAnsi="Times New Roman"/>
      <w:sz w:val="24"/>
    </w:rPr>
  </w:style>
  <w:style xmlns:w="http://schemas.openxmlformats.org/wordprocessingml/2006/main" w:type="table" w:styleId="TableGrid">
    <w:name w:val="Table Grid"/>
    <w:basedOn w:val="TableNormal"/>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a7291a8ad294d9b" /></Relationships>
</file>